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rPr>
          <w:sz w:val="28"/>
          <w:szCs w:val="28"/>
        </w:rPr>
      </w:pPr>
      <w:r>
        <w:rPr>
          <w:rFonts w:hint="eastAsia"/>
          <w:sz w:val="28"/>
          <w:szCs w:val="28"/>
        </w:rPr>
        <w:t>附件</w:t>
      </w:r>
    </w:p>
    <w:p>
      <w:pPr>
        <w:jc w:val="center"/>
        <w:rPr>
          <w:b/>
          <w:sz w:val="32"/>
          <w:szCs w:val="32"/>
        </w:rPr>
      </w:pPr>
      <w:r>
        <w:rPr>
          <w:rFonts w:hint="eastAsia"/>
          <w:b/>
          <w:sz w:val="32"/>
          <w:szCs w:val="32"/>
        </w:rPr>
        <w:t>关于《海岸带规划编制技术指南》行业标准征求意见稿的</w:t>
      </w:r>
    </w:p>
    <w:p>
      <w:pPr>
        <w:jc w:val="center"/>
        <w:rPr>
          <w:b/>
          <w:sz w:val="32"/>
          <w:szCs w:val="32"/>
        </w:rPr>
      </w:pPr>
      <w:r>
        <w:rPr>
          <w:rFonts w:hint="eastAsia"/>
          <w:b/>
          <w:sz w:val="32"/>
          <w:szCs w:val="32"/>
        </w:rPr>
        <w:t>意见反馈表</w:t>
      </w:r>
    </w:p>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41"/>
        <w:gridCol w:w="1863"/>
        <w:gridCol w:w="59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序号</w:t>
            </w:r>
          </w:p>
        </w:tc>
        <w:tc>
          <w:tcPr>
            <w:tcW w:w="1093" w:type="pct"/>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章条编号</w:t>
            </w:r>
          </w:p>
        </w:tc>
        <w:tc>
          <w:tcPr>
            <w:tcW w:w="3472" w:type="pct"/>
            <w:shd w:val="clear" w:color="auto" w:fill="auto"/>
          </w:tcPr>
          <w:p>
            <w:pPr>
              <w:spacing w:line="360" w:lineRule="auto"/>
              <w:jc w:val="center"/>
              <w:rPr>
                <w:rFonts w:ascii="宋体" w:hAnsi="宋体" w:eastAsia="宋体"/>
                <w:b/>
                <w:szCs w:val="21"/>
              </w:rPr>
            </w:pPr>
            <w:r>
              <w:rPr>
                <w:rFonts w:hint="eastAsia" w:ascii="宋体" w:hAnsi="宋体" w:eastAsia="宋体"/>
                <w:b/>
                <w:szCs w:val="21"/>
              </w:rPr>
              <w:t>意见建议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spacing w:line="360" w:lineRule="auto"/>
              <w:jc w:val="center"/>
              <w:rPr>
                <w:rFonts w:ascii="宋体" w:hAnsi="宋体" w:eastAsia="宋体"/>
                <w:szCs w:val="21"/>
              </w:rPr>
            </w:pPr>
            <w:r>
              <w:rPr>
                <w:rFonts w:hint="eastAsia" w:ascii="宋体" w:hAnsi="宋体" w:eastAsia="宋体"/>
                <w:szCs w:val="21"/>
              </w:rPr>
              <w:t>目次</w:t>
            </w:r>
          </w:p>
        </w:tc>
        <w:tc>
          <w:tcPr>
            <w:tcW w:w="3472" w:type="pct"/>
            <w:shd w:val="clear" w:color="auto" w:fill="auto"/>
          </w:tcPr>
          <w:p>
            <w:pPr>
              <w:spacing w:line="360" w:lineRule="auto"/>
              <w:rPr>
                <w:rFonts w:ascii="宋体" w:hAnsi="宋体" w:eastAsia="宋体"/>
                <w:szCs w:val="21"/>
              </w:rPr>
            </w:pPr>
            <w:r>
              <w:rPr>
                <w:rFonts w:hint="eastAsia" w:ascii="宋体" w:hAnsi="宋体" w:eastAsia="宋体"/>
                <w:szCs w:val="21"/>
              </w:rPr>
              <w:t>目次</w:t>
            </w:r>
            <w:r>
              <w:rPr>
                <w:rFonts w:hint="eastAsia" w:ascii="宋体" w:hAnsi="宋体" w:eastAsia="宋体"/>
                <w:szCs w:val="21"/>
              </w:rPr>
              <w:tab/>
            </w:r>
            <w:r>
              <w:rPr>
                <w:rFonts w:hint="eastAsia" w:ascii="宋体" w:hAnsi="宋体" w:eastAsia="宋体"/>
                <w:szCs w:val="21"/>
              </w:rPr>
              <w:t>“目次”，建议为“目录”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spacing w:line="360" w:lineRule="auto"/>
              <w:jc w:val="center"/>
              <w:rPr>
                <w:rFonts w:ascii="宋体" w:hAnsi="宋体" w:eastAsia="宋体"/>
                <w:szCs w:val="21"/>
              </w:rPr>
            </w:pPr>
            <w:r>
              <w:rPr>
                <w:rFonts w:hint="eastAsia" w:ascii="宋体" w:hAnsi="宋体" w:eastAsia="宋体"/>
                <w:szCs w:val="21"/>
              </w:rPr>
              <w:t>1</w:t>
            </w:r>
          </w:p>
        </w:tc>
        <w:tc>
          <w:tcPr>
            <w:tcW w:w="3472" w:type="pct"/>
            <w:shd w:val="clear" w:color="auto" w:fill="auto"/>
          </w:tcPr>
          <w:p>
            <w:pPr>
              <w:spacing w:line="360" w:lineRule="auto"/>
              <w:rPr>
                <w:rFonts w:ascii="宋体" w:hAnsi="宋体" w:eastAsia="宋体"/>
                <w:szCs w:val="21"/>
              </w:rPr>
            </w:pPr>
            <w:r>
              <w:rPr>
                <w:rFonts w:hint="eastAsia" w:ascii="宋体" w:hAnsi="宋体" w:eastAsia="宋体"/>
                <w:szCs w:val="21"/>
              </w:rPr>
              <w:t>“范围”里的“生态环境保护修复”，建议为“生态环境保护与修复”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spacing w:line="360" w:lineRule="auto"/>
              <w:jc w:val="center"/>
              <w:rPr>
                <w:rFonts w:ascii="宋体" w:hAnsi="宋体" w:eastAsia="宋体"/>
                <w:szCs w:val="21"/>
              </w:rPr>
            </w:pPr>
            <w:r>
              <w:rPr>
                <w:rFonts w:ascii="宋体" w:hAnsi="宋体" w:eastAsia="宋体"/>
                <w:szCs w:val="21"/>
              </w:rPr>
              <w:t>4.1.1</w:t>
            </w:r>
          </w:p>
        </w:tc>
        <w:tc>
          <w:tcPr>
            <w:tcW w:w="3472" w:type="pct"/>
            <w:shd w:val="clear" w:color="auto" w:fill="auto"/>
          </w:tcPr>
          <w:p>
            <w:pPr>
              <w:spacing w:line="360" w:lineRule="auto"/>
              <w:rPr>
                <w:rFonts w:ascii="宋体" w:hAnsi="宋体" w:eastAsia="宋体"/>
                <w:szCs w:val="21"/>
              </w:rPr>
            </w:pPr>
            <w:r>
              <w:rPr>
                <w:rFonts w:hint="eastAsia" w:ascii="宋体" w:hAnsi="宋体" w:eastAsia="宋体"/>
                <w:szCs w:val="21"/>
              </w:rPr>
              <w:t>a)保证生态系统，建议改为 “保证生物多样性”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spacing w:line="360" w:lineRule="auto"/>
              <w:jc w:val="center"/>
              <w:rPr>
                <w:rFonts w:ascii="宋体" w:hAnsi="宋体" w:eastAsia="宋体"/>
                <w:szCs w:val="21"/>
              </w:rPr>
            </w:pPr>
            <w:r>
              <w:rPr>
                <w:rFonts w:ascii="宋体" w:hAnsi="宋体" w:eastAsia="宋体"/>
                <w:szCs w:val="21"/>
              </w:rPr>
              <w:t>4.1.2</w:t>
            </w:r>
          </w:p>
        </w:tc>
        <w:tc>
          <w:tcPr>
            <w:tcW w:w="3472" w:type="pct"/>
            <w:shd w:val="clear" w:color="auto" w:fill="auto"/>
          </w:tcPr>
          <w:p>
            <w:pPr>
              <w:spacing w:line="360" w:lineRule="auto"/>
              <w:rPr>
                <w:rFonts w:ascii="宋体" w:hAnsi="宋体" w:eastAsia="宋体"/>
                <w:szCs w:val="21"/>
              </w:rPr>
            </w:pPr>
            <w:r>
              <w:rPr>
                <w:rFonts w:ascii="宋体" w:hAnsi="宋体" w:eastAsia="宋体"/>
                <w:szCs w:val="21"/>
              </w:rPr>
              <w:t>规划期限</w:t>
            </w:r>
            <w:r>
              <w:rPr>
                <w:rFonts w:hint="eastAsia" w:ascii="宋体" w:hAnsi="宋体" w:eastAsia="宋体"/>
                <w:szCs w:val="21"/>
              </w:rPr>
              <w:t>建议作如下修改：</w:t>
            </w:r>
            <w:r>
              <w:rPr>
                <w:rFonts w:ascii="宋体" w:hAnsi="宋体" w:eastAsia="宋体"/>
                <w:szCs w:val="21"/>
              </w:rPr>
              <w:br w:type="textWrapping"/>
            </w:r>
            <w:r>
              <w:rPr>
                <w:rFonts w:ascii="宋体" w:hAnsi="宋体" w:eastAsia="宋体"/>
                <w:szCs w:val="21"/>
              </w:rPr>
              <w:t>以某一确定年份为基期年，规划目标期限为近期、中期和远期。近期规划一般为3</w:t>
            </w:r>
            <w:r>
              <w:rPr>
                <w:rFonts w:hint="eastAsia" w:ascii="宋体" w:hAnsi="宋体" w:eastAsia="MS Mincho" w:cs="MS Mincho"/>
                <w:szCs w:val="21"/>
              </w:rPr>
              <w:t>〜</w:t>
            </w:r>
            <w:r>
              <w:rPr>
                <w:rFonts w:ascii="宋体" w:hAnsi="宋体" w:eastAsia="宋体"/>
                <w:szCs w:val="21"/>
              </w:rPr>
              <w:t>5年，中期规划一般为10</w:t>
            </w:r>
            <w:r>
              <w:rPr>
                <w:rFonts w:hint="eastAsia" w:ascii="宋体" w:hAnsi="宋体" w:eastAsia="MS Mincho" w:cs="MS Mincho"/>
                <w:szCs w:val="21"/>
              </w:rPr>
              <w:t>〜</w:t>
            </w:r>
            <w:r>
              <w:rPr>
                <w:rFonts w:ascii="宋体" w:hAnsi="宋体" w:eastAsia="宋体"/>
                <w:szCs w:val="21"/>
              </w:rPr>
              <w:t>15年，远期规划一般为15</w:t>
            </w:r>
            <w:r>
              <w:rPr>
                <w:rFonts w:hint="eastAsia" w:ascii="宋体" w:hAnsi="宋体" w:eastAsia="MS Mincho" w:cs="MS Mincho"/>
                <w:szCs w:val="21"/>
              </w:rPr>
              <w:t>〜</w:t>
            </w:r>
            <w:r>
              <w:rPr>
                <w:rFonts w:ascii="宋体" w:hAnsi="宋体" w:eastAsia="宋体"/>
                <w:szCs w:val="21"/>
              </w:rPr>
              <w:t>20年。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spacing w:line="360" w:lineRule="auto"/>
              <w:jc w:val="center"/>
              <w:rPr>
                <w:rFonts w:ascii="宋体" w:hAnsi="宋体" w:eastAsia="宋体"/>
                <w:szCs w:val="21"/>
              </w:rPr>
            </w:pPr>
            <w:r>
              <w:rPr>
                <w:rFonts w:hint="eastAsia" w:ascii="宋体" w:hAnsi="宋体" w:eastAsia="宋体"/>
                <w:szCs w:val="21"/>
              </w:rPr>
              <w:t>4.2</w:t>
            </w:r>
          </w:p>
        </w:tc>
        <w:tc>
          <w:tcPr>
            <w:tcW w:w="3472" w:type="pct"/>
            <w:shd w:val="clear" w:color="auto" w:fill="auto"/>
          </w:tcPr>
          <w:p>
            <w:pPr>
              <w:spacing w:line="360" w:lineRule="auto"/>
              <w:rPr>
                <w:rFonts w:ascii="宋体" w:hAnsi="宋体" w:eastAsia="宋体"/>
                <w:szCs w:val="21"/>
              </w:rPr>
            </w:pPr>
            <w:r>
              <w:rPr>
                <w:rFonts w:hint="eastAsia" w:ascii="宋体" w:hAnsi="宋体" w:eastAsia="宋体"/>
                <w:szCs w:val="21"/>
              </w:rPr>
              <w:t>d)以满足新时代人民群众对美好生活的向往为目标，建议改成“以人与自然和谐发展作为目标”，以人为本，建议改成“以自然为本”</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5.1</w:t>
            </w:r>
          </w:p>
        </w:tc>
        <w:tc>
          <w:tcPr>
            <w:tcW w:w="3472" w:type="pct"/>
            <w:shd w:val="clear" w:color="auto" w:fill="auto"/>
            <w:vAlign w:val="center"/>
          </w:tcPr>
          <w:p>
            <w:pPr>
              <w:pStyle w:val="2"/>
              <w:spacing w:line="400" w:lineRule="exact"/>
              <w:ind w:firstLine="0" w:firstLineChars="0"/>
              <w:rPr>
                <w:rFonts w:ascii="宋体" w:hAnsi="宋体"/>
                <w:szCs w:val="21"/>
              </w:rPr>
            </w:pPr>
            <w:r>
              <w:rPr>
                <w:rFonts w:hint="eastAsia" w:ascii="宋体" w:hAnsi="宋体"/>
                <w:szCs w:val="21"/>
              </w:rPr>
              <w:t>基础数据搜集里，“以海洋综合调查数据、海岸线修测数据和相关专项调查数据为基础”，建议增加一项“海岸带（线）生物多样性调查数据”，将生物多样性本底数据纳入规划编制的基础数据，以突出和落实生态优先的战略要求。改成“以海洋综合调查数据、海岸线修测数据、海岸带（线）生物多样性调查数据 和相关专项调查数据为基础”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6.2</w:t>
            </w:r>
          </w:p>
        </w:tc>
        <w:tc>
          <w:tcPr>
            <w:tcW w:w="3472" w:type="pct"/>
            <w:shd w:val="clear" w:color="auto" w:fill="auto"/>
            <w:vAlign w:val="center"/>
          </w:tcPr>
          <w:p>
            <w:pPr>
              <w:widowControl/>
              <w:jc w:val="left"/>
              <w:rPr>
                <w:rFonts w:ascii="宋体" w:hAnsi="宋体" w:eastAsia="宋体"/>
                <w:szCs w:val="21"/>
              </w:rPr>
            </w:pPr>
            <w:r>
              <w:rPr>
                <w:rFonts w:hint="eastAsia" w:ascii="宋体" w:hAnsi="宋体" w:eastAsia="宋体"/>
                <w:szCs w:val="21"/>
              </w:rPr>
              <w:t>立足（建议改成“立足区域生态系统，依据本地区资源禀赋、环境状况和经济社会发展潜力”），从空间供给与结构调整、生态保护与修复（建议改成“生态保护与恢复”）、产业布局优化、人居环境提升等方面，提出规划目标。</w:t>
            </w:r>
            <w:r>
              <w:rPr>
                <w:rFonts w:hint="eastAsia" w:ascii="宋体" w:hAnsi="宋体" w:eastAsia="宋体"/>
                <w:szCs w:val="21"/>
              </w:rPr>
              <w:tab/>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7.1</w:t>
            </w:r>
          </w:p>
        </w:tc>
        <w:tc>
          <w:tcPr>
            <w:tcW w:w="3472" w:type="pct"/>
            <w:shd w:val="clear" w:color="auto" w:fill="auto"/>
            <w:vAlign w:val="center"/>
          </w:tcPr>
          <w:p>
            <w:pPr>
              <w:rPr>
                <w:rFonts w:ascii="宋体" w:hAnsi="宋体" w:eastAsia="宋体"/>
                <w:szCs w:val="21"/>
              </w:rPr>
            </w:pPr>
            <w:r>
              <w:rPr>
                <w:rFonts w:hint="eastAsia" w:ascii="宋体" w:hAnsi="宋体" w:eastAsia="宋体"/>
                <w:szCs w:val="21"/>
              </w:rPr>
              <w:t>海洋功能区分区，分为生态保护区、生态控制区和海洋发展区，建议补充三区划分的标准，使其更明确，目前不太明晰，缺乏可操作性。也可以加一句参照海洋自然保护区功能区划分。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7.4.4</w:t>
            </w:r>
          </w:p>
          <w:p>
            <w:pPr>
              <w:jc w:val="center"/>
              <w:rPr>
                <w:rFonts w:ascii="宋体" w:hAnsi="宋体" w:eastAsia="宋体"/>
                <w:szCs w:val="21"/>
              </w:rPr>
            </w:pPr>
          </w:p>
        </w:tc>
        <w:tc>
          <w:tcPr>
            <w:tcW w:w="3472" w:type="pct"/>
            <w:shd w:val="clear" w:color="auto" w:fill="auto"/>
            <w:vAlign w:val="center"/>
          </w:tcPr>
          <w:p>
            <w:pPr>
              <w:widowControl/>
              <w:jc w:val="left"/>
              <w:rPr>
                <w:rFonts w:ascii="宋体" w:hAnsi="宋体" w:eastAsia="宋体"/>
                <w:szCs w:val="21"/>
              </w:rPr>
            </w:pPr>
            <w:r>
              <w:rPr>
                <w:rFonts w:hint="eastAsia" w:ascii="宋体" w:hAnsi="宋体" w:eastAsia="宋体"/>
                <w:szCs w:val="21"/>
              </w:rPr>
              <w:t>“保护修复”的标题，建议改成“保护与修复”。论述部分只讲了保护，没有触及生态修复，期望加入相应内容。</w:t>
            </w:r>
          </w:p>
          <w:p>
            <w:pPr>
              <w:widowControl/>
              <w:jc w:val="left"/>
              <w:rPr>
                <w:rFonts w:ascii="宋体" w:hAnsi="宋体" w:eastAsia="宋体"/>
                <w:szCs w:val="21"/>
              </w:rPr>
            </w:pPr>
            <w:r>
              <w:rPr>
                <w:rFonts w:hint="eastAsia" w:ascii="宋体" w:hAnsi="宋体" w:eastAsia="宋体"/>
                <w:szCs w:val="21"/>
              </w:rPr>
              <w:t>保证功能区内的珍稀濒危海洋生物和具有保护价值的物种及其栖息地，建议改成“保证功能区内的珍稀濒危海洋生物和具有保护价值的物种及其栖息地、生物多样性”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8.</w:t>
            </w:r>
            <w:r>
              <w:rPr>
                <w:rFonts w:ascii="宋体" w:hAnsi="宋体" w:eastAsia="宋体"/>
                <w:szCs w:val="21"/>
              </w:rPr>
              <w:t>1</w:t>
            </w:r>
          </w:p>
        </w:tc>
        <w:tc>
          <w:tcPr>
            <w:tcW w:w="3472" w:type="pct"/>
            <w:shd w:val="clear" w:color="auto" w:fill="auto"/>
            <w:vAlign w:val="center"/>
          </w:tcPr>
          <w:p>
            <w:pPr>
              <w:rPr>
                <w:rFonts w:ascii="宋体" w:hAnsi="宋体" w:eastAsia="宋体"/>
                <w:color w:val="000000"/>
                <w:szCs w:val="21"/>
              </w:rPr>
            </w:pPr>
            <w:r>
              <w:rPr>
                <w:rFonts w:hint="eastAsia" w:ascii="宋体" w:hAnsi="宋体" w:eastAsia="宋体"/>
                <w:szCs w:val="21"/>
              </w:rPr>
              <w:t>岸线分类保护与利用。将岸线分为三类，其中严格保护岸线是采用列举法来阐述的，不够具体，建议在划分三类岸线类型时，与当地生态红线划分、自然保护区设置相结合，同时建议增加一条硬性规定：要求至少每隔5年，要开展一次岸线自然资源调查。其动态的调查结果 ，可以在划分保护类型时提供论证。因为自然资源、人类认知程度都是变化 ，要让岸线分类处于一个动态、可调整状态，真正实现科学和精细化管理。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ascii="宋体" w:hAnsi="宋体" w:eastAsia="宋体"/>
                <w:szCs w:val="21"/>
              </w:rPr>
              <w:t>8.5</w:t>
            </w:r>
          </w:p>
        </w:tc>
        <w:tc>
          <w:tcPr>
            <w:tcW w:w="3472" w:type="pct"/>
            <w:shd w:val="clear" w:color="auto" w:fill="auto"/>
          </w:tcPr>
          <w:p>
            <w:pPr>
              <w:tabs>
                <w:tab w:val="left" w:pos="5220"/>
              </w:tabs>
              <w:jc w:val="left"/>
              <w:rPr>
                <w:rFonts w:ascii="宋体" w:hAnsi="宋体" w:eastAsia="宋体"/>
                <w:szCs w:val="21"/>
              </w:rPr>
            </w:pPr>
            <w:r>
              <w:rPr>
                <w:rFonts w:hint="eastAsia" w:ascii="宋体" w:hAnsi="宋体" w:eastAsia="宋体"/>
                <w:szCs w:val="21"/>
              </w:rPr>
              <w:t>加强海岛严管严控：</w:t>
            </w:r>
          </w:p>
          <w:p>
            <w:pPr>
              <w:pStyle w:val="2"/>
              <w:spacing w:line="400" w:lineRule="exact"/>
              <w:ind w:firstLine="0" w:firstLineChars="0"/>
              <w:rPr>
                <w:rFonts w:ascii="宋体" w:hAnsi="宋体"/>
                <w:color w:val="FF0000"/>
                <w:szCs w:val="21"/>
              </w:rPr>
            </w:pPr>
            <w:r>
              <w:rPr>
                <w:rFonts w:hint="eastAsia" w:ascii="宋体" w:hAnsi="宋体"/>
                <w:szCs w:val="21"/>
              </w:rPr>
              <w:t>a)将领海基点所在海岛及领海基点保护范围内海岛、国防用途海岛、自然保护地内海加强海岛严管严控应考虑：岛以及具有珍稀濒危野生动植物及栖息地、重要遗传资源天然分布区（建议添加此项内容）、重要自然遗迹等特殊保护价值和未开发利用的无居民海岛原则上划入生态保护红线，纳入生态保护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9</w:t>
            </w:r>
          </w:p>
        </w:tc>
        <w:tc>
          <w:tcPr>
            <w:tcW w:w="3472" w:type="pct"/>
            <w:shd w:val="clear" w:color="auto" w:fill="auto"/>
            <w:vAlign w:val="center"/>
          </w:tcPr>
          <w:p>
            <w:pPr>
              <w:rPr>
                <w:rFonts w:ascii="宋体" w:hAnsi="宋体" w:eastAsia="宋体"/>
                <w:szCs w:val="21"/>
              </w:rPr>
            </w:pPr>
            <w:r>
              <w:rPr>
                <w:rFonts w:hint="eastAsia" w:ascii="宋体" w:hAnsi="宋体" w:eastAsia="宋体"/>
                <w:szCs w:val="21"/>
              </w:rPr>
              <w:t>“生态环境保护修复”，建议改成“生态环境保护与修复”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ascii="宋体" w:hAnsi="宋体" w:eastAsia="宋体"/>
                <w:szCs w:val="21"/>
              </w:rPr>
              <w:t>9.1</w:t>
            </w:r>
          </w:p>
        </w:tc>
        <w:tc>
          <w:tcPr>
            <w:tcW w:w="3472" w:type="pct"/>
            <w:shd w:val="clear" w:color="auto" w:fill="auto"/>
            <w:vAlign w:val="center"/>
          </w:tcPr>
          <w:p>
            <w:pPr>
              <w:tabs>
                <w:tab w:val="left" w:pos="5220"/>
              </w:tabs>
              <w:jc w:val="left"/>
              <w:rPr>
                <w:rFonts w:ascii="宋体" w:hAnsi="宋体" w:eastAsia="宋体"/>
                <w:szCs w:val="21"/>
              </w:rPr>
            </w:pPr>
            <w:r>
              <w:rPr>
                <w:rFonts w:ascii="宋体" w:hAnsi="宋体" w:eastAsia="宋体"/>
                <w:szCs w:val="21"/>
              </w:rPr>
              <w:t> </w:t>
            </w:r>
            <w:r>
              <w:rPr>
                <w:rFonts w:hint="eastAsia" w:ascii="宋体" w:hAnsi="宋体" w:eastAsia="宋体"/>
                <w:szCs w:val="21"/>
              </w:rPr>
              <w:t xml:space="preserve">生态系统保护（建议改成“生物多样性保护”）  </w:t>
            </w:r>
          </w:p>
          <w:p>
            <w:pPr>
              <w:tabs>
                <w:tab w:val="left" w:pos="5220"/>
              </w:tabs>
              <w:jc w:val="left"/>
              <w:rPr>
                <w:rFonts w:ascii="宋体" w:hAnsi="宋体" w:eastAsia="宋体"/>
                <w:szCs w:val="21"/>
              </w:rPr>
            </w:pPr>
            <w:r>
              <w:rPr>
                <w:rFonts w:hint="eastAsia" w:ascii="宋体" w:hAnsi="宋体" w:eastAsia="宋体"/>
                <w:szCs w:val="21"/>
              </w:rPr>
              <w:t>统筹考虑海岸带地区生态系统（建议将“生态系统”改成“生物多样性保护”）的完整性和系统性，一体化识别生态功能重要和生态系统方式和要求。识别本地区珍稀濒危生物及其栖息地、重要遗传资源天然分布区（建议添加此项内容），提出针对性保护措施。识别重要迁徙物种的传播、迁移路径，确定生态廊道位置、连通方式、生态特征和功能，明确保护格局，在脆弱的区域，在健全自然保护地体系和生态保护红线评估调整工作的基础上，明确生态（“生态”建议改成“生物多样性保护”）保护基础设施建设中合理避让。</w:t>
            </w:r>
          </w:p>
          <w:p>
            <w:pPr>
              <w:pStyle w:val="2"/>
              <w:spacing w:line="400" w:lineRule="exact"/>
              <w:ind w:firstLine="315" w:firstLineChars="150"/>
              <w:rPr>
                <w:rFonts w:ascii="宋体" w:hAnsi="宋体"/>
                <w:color w:val="FF0000"/>
                <w:szCs w:val="21"/>
              </w:rPr>
            </w:pPr>
            <w:r>
              <w:rPr>
                <w:rFonts w:ascii="宋体" w:hAnsi="宋体"/>
                <w:szCs w:val="21"/>
              </w:rPr>
              <w:br w:type="textWrapping"/>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9</w:t>
            </w:r>
            <w:r>
              <w:rPr>
                <w:rFonts w:ascii="宋体" w:hAnsi="宋体" w:eastAsia="宋体"/>
                <w:szCs w:val="21"/>
              </w:rPr>
              <w:t>.2</w:t>
            </w:r>
          </w:p>
        </w:tc>
        <w:tc>
          <w:tcPr>
            <w:tcW w:w="3472" w:type="pct"/>
            <w:shd w:val="clear" w:color="auto" w:fill="auto"/>
            <w:vAlign w:val="center"/>
          </w:tcPr>
          <w:p>
            <w:pPr>
              <w:rPr>
                <w:rFonts w:ascii="宋体" w:hAnsi="宋体" w:eastAsia="宋体"/>
                <w:szCs w:val="21"/>
              </w:rPr>
            </w:pPr>
            <w:r>
              <w:rPr>
                <w:rFonts w:hint="eastAsia" w:ascii="宋体" w:hAnsi="宋体" w:eastAsia="宋体"/>
                <w:szCs w:val="21"/>
              </w:rPr>
              <w:t>“生态恢复修复”，建议为“生态系统恢复”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9.</w:t>
            </w:r>
            <w:r>
              <w:rPr>
                <w:rFonts w:ascii="宋体" w:hAnsi="宋体" w:eastAsia="宋体"/>
                <w:szCs w:val="21"/>
              </w:rPr>
              <w:t>4</w:t>
            </w:r>
          </w:p>
        </w:tc>
        <w:tc>
          <w:tcPr>
            <w:tcW w:w="3472" w:type="pct"/>
            <w:shd w:val="clear" w:color="auto" w:fill="auto"/>
            <w:vAlign w:val="center"/>
          </w:tcPr>
          <w:p>
            <w:pPr>
              <w:tabs>
                <w:tab w:val="left" w:pos="5220"/>
              </w:tabs>
              <w:jc w:val="left"/>
              <w:rPr>
                <w:rFonts w:ascii="宋体" w:hAnsi="宋体" w:eastAsia="宋体"/>
                <w:szCs w:val="21"/>
              </w:rPr>
            </w:pPr>
            <w:r>
              <w:rPr>
                <w:rFonts w:hint="eastAsia" w:ascii="宋体" w:hAnsi="宋体" w:eastAsia="宋体"/>
                <w:szCs w:val="21"/>
              </w:rPr>
              <w:t>海洋垃圾治理。仅明确强调微塑料治理不够，建议加入单独一条：引入和鼓励社会组织参与治理。</w:t>
            </w:r>
            <w:r>
              <w:rPr>
                <w:rFonts w:hint="eastAsia" w:ascii="宋体" w:hAnsi="宋体" w:eastAsia="宋体"/>
                <w:szCs w:val="21"/>
              </w:rPr>
              <w:tab/>
            </w:r>
          </w:p>
          <w:p>
            <w:pPr>
              <w:rPr>
                <w:rFonts w:ascii="宋体" w:hAnsi="宋体" w:eastAsia="宋体"/>
                <w:color w:val="000000"/>
                <w:szCs w:val="21"/>
              </w:rPr>
            </w:pPr>
            <w:r>
              <w:rPr>
                <w:rFonts w:hint="eastAsia" w:ascii="宋体" w:hAnsi="宋体" w:eastAsia="宋体"/>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1</w:t>
            </w:r>
            <w:r>
              <w:rPr>
                <w:rFonts w:ascii="宋体" w:hAnsi="宋体" w:eastAsia="宋体"/>
                <w:szCs w:val="21"/>
              </w:rPr>
              <w:t>2</w:t>
            </w:r>
          </w:p>
        </w:tc>
        <w:tc>
          <w:tcPr>
            <w:tcW w:w="3472" w:type="pct"/>
            <w:shd w:val="clear" w:color="auto" w:fill="auto"/>
            <w:vAlign w:val="center"/>
          </w:tcPr>
          <w:p>
            <w:pPr>
              <w:rPr>
                <w:rFonts w:ascii="宋体" w:hAnsi="宋体" w:eastAsia="宋体"/>
                <w:szCs w:val="21"/>
              </w:rPr>
            </w:pPr>
            <w:r>
              <w:rPr>
                <w:rFonts w:hint="eastAsia" w:ascii="宋体" w:hAnsi="宋体" w:eastAsia="宋体"/>
                <w:szCs w:val="21"/>
              </w:rPr>
              <w:t>规划保障措施，建议单独增加一条“区域统筹管理”，以杜绝现在一个省建多个滨海码头或滨海工业区，甚至一个市县不同区，重复规划建设码头或滨海工业区。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13.3</w:t>
            </w:r>
          </w:p>
        </w:tc>
        <w:tc>
          <w:tcPr>
            <w:tcW w:w="3472" w:type="pct"/>
            <w:shd w:val="clear" w:color="auto" w:fill="auto"/>
            <w:vAlign w:val="center"/>
          </w:tcPr>
          <w:p>
            <w:pPr>
              <w:rPr>
                <w:rFonts w:ascii="宋体" w:hAnsi="宋体" w:eastAsia="宋体"/>
                <w:szCs w:val="21"/>
              </w:rPr>
            </w:pPr>
            <w:r>
              <w:rPr>
                <w:rFonts w:hint="eastAsia" w:ascii="宋体" w:hAnsi="宋体" w:eastAsia="宋体"/>
                <w:szCs w:val="21"/>
              </w:rPr>
              <w:t>建议新增 13.3  信息公开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numPr>
                <w:ilvl w:val="0"/>
                <w:numId w:val="1"/>
              </w:numPr>
              <w:spacing w:line="360" w:lineRule="auto"/>
              <w:ind w:firstLineChars="0"/>
              <w:jc w:val="center"/>
              <w:rPr>
                <w:rFonts w:ascii="宋体" w:hAnsi="宋体"/>
                <w:szCs w:val="21"/>
              </w:rPr>
            </w:pP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附录D</w:t>
            </w:r>
          </w:p>
        </w:tc>
        <w:tc>
          <w:tcPr>
            <w:tcW w:w="3472" w:type="pct"/>
            <w:shd w:val="clear" w:color="auto" w:fill="auto"/>
            <w:vAlign w:val="center"/>
          </w:tcPr>
          <w:p>
            <w:pPr>
              <w:rPr>
                <w:rFonts w:ascii="宋体" w:hAnsi="宋体" w:eastAsia="宋体"/>
                <w:szCs w:val="21"/>
              </w:rPr>
            </w:pPr>
            <w:r>
              <w:rPr>
                <w:rFonts w:hint="eastAsia" w:ascii="宋体" w:hAnsi="宋体" w:eastAsia="宋体"/>
                <w:szCs w:val="21"/>
              </w:rPr>
              <w:t>海岸带规划指标体系中，建议增加生物多样性规划指标作为生态保护修复的主要指标内容。生物多样性是衡量生态环境质量的重要指标。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35" w:type="pct"/>
            <w:shd w:val="clear" w:color="auto" w:fill="auto"/>
            <w:vAlign w:val="center"/>
          </w:tcPr>
          <w:p>
            <w:pPr>
              <w:pStyle w:val="11"/>
              <w:spacing w:line="360" w:lineRule="auto"/>
              <w:ind w:firstLine="0" w:firstLineChars="0"/>
              <w:jc w:val="center"/>
              <w:rPr>
                <w:rFonts w:ascii="宋体" w:hAnsi="宋体"/>
                <w:szCs w:val="21"/>
              </w:rPr>
            </w:pPr>
            <w:r>
              <w:rPr>
                <w:rFonts w:hint="eastAsia" w:ascii="宋体" w:hAnsi="宋体"/>
                <w:szCs w:val="21"/>
              </w:rPr>
              <w:t>19</w:t>
            </w:r>
          </w:p>
        </w:tc>
        <w:tc>
          <w:tcPr>
            <w:tcW w:w="1093" w:type="pct"/>
            <w:shd w:val="clear" w:color="auto" w:fill="auto"/>
            <w:vAlign w:val="center"/>
          </w:tcPr>
          <w:p>
            <w:pPr>
              <w:jc w:val="center"/>
              <w:rPr>
                <w:rFonts w:ascii="宋体" w:hAnsi="宋体" w:eastAsia="宋体"/>
                <w:szCs w:val="21"/>
              </w:rPr>
            </w:pPr>
            <w:r>
              <w:rPr>
                <w:rFonts w:hint="eastAsia" w:ascii="宋体" w:hAnsi="宋体" w:eastAsia="宋体"/>
                <w:szCs w:val="21"/>
              </w:rPr>
              <w:t>指南的整体结构方面</w:t>
            </w:r>
          </w:p>
        </w:tc>
        <w:tc>
          <w:tcPr>
            <w:tcW w:w="3472" w:type="pct"/>
            <w:shd w:val="clear" w:color="auto" w:fill="auto"/>
          </w:tcPr>
          <w:p>
            <w:pPr>
              <w:tabs>
                <w:tab w:val="left" w:pos="5220"/>
              </w:tabs>
              <w:jc w:val="left"/>
              <w:rPr>
                <w:rFonts w:ascii="宋体" w:hAnsi="宋体" w:eastAsia="宋体"/>
                <w:szCs w:val="21"/>
              </w:rPr>
            </w:pPr>
            <w:r>
              <w:rPr>
                <w:rFonts w:hint="eastAsia" w:ascii="宋体" w:hAnsi="宋体" w:eastAsia="宋体"/>
                <w:szCs w:val="21"/>
              </w:rPr>
              <w:t>指南的整体结构方面</w:t>
            </w:r>
            <w:r>
              <w:rPr>
                <w:rFonts w:hint="eastAsia" w:ascii="宋体" w:hAnsi="宋体" w:eastAsia="宋体"/>
                <w:szCs w:val="21"/>
              </w:rPr>
              <w:tab/>
            </w:r>
            <w:r>
              <w:rPr>
                <w:rFonts w:hint="eastAsia" w:ascii="宋体" w:hAnsi="宋体" w:eastAsia="宋体"/>
                <w:szCs w:val="21"/>
              </w:rPr>
              <w:t>在7.8.9部分建议重新梳理。现逻辑上重复。7（规划分区），主要讲海洋部分的规划编制技术要求，8（资源分类管控）在讲近海的岸线、潮间带、滨海湿地、海岛等的规划编制要求，两者都涉及到9（生态环境保护与修复）的内容，现在7.8里边的小项规定里，有的涉及到了9的部分内容（如7.4.4;8.3），有的没有涉及，建议编制标准上统一，全部归到9部分，在9这一部分统一分类别阐述清楚。</w:t>
            </w:r>
          </w:p>
          <w:p>
            <w:pPr>
              <w:spacing w:line="360" w:lineRule="auto"/>
              <w:rPr>
                <w:rFonts w:ascii="宋体" w:hAnsi="宋体" w:eastAsia="宋体"/>
                <w:color w:val="FF000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65EFC"/>
    <w:multiLevelType w:val="multilevel"/>
    <w:tmpl w:val="1E265EF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E8"/>
    <w:rsid w:val="000566A7"/>
    <w:rsid w:val="00097836"/>
    <w:rsid w:val="000B1D24"/>
    <w:rsid w:val="000F281D"/>
    <w:rsid w:val="001115BB"/>
    <w:rsid w:val="00126315"/>
    <w:rsid w:val="00172EF0"/>
    <w:rsid w:val="00185B50"/>
    <w:rsid w:val="0019693B"/>
    <w:rsid w:val="001A0EDD"/>
    <w:rsid w:val="001C28B9"/>
    <w:rsid w:val="001D6772"/>
    <w:rsid w:val="002B7170"/>
    <w:rsid w:val="002C133D"/>
    <w:rsid w:val="002F5B95"/>
    <w:rsid w:val="00302B40"/>
    <w:rsid w:val="00355632"/>
    <w:rsid w:val="00390826"/>
    <w:rsid w:val="003A10F1"/>
    <w:rsid w:val="003C5ED8"/>
    <w:rsid w:val="003C7462"/>
    <w:rsid w:val="003F4A21"/>
    <w:rsid w:val="00400075"/>
    <w:rsid w:val="00407A7A"/>
    <w:rsid w:val="00445F91"/>
    <w:rsid w:val="004A294A"/>
    <w:rsid w:val="004A2974"/>
    <w:rsid w:val="004B10C0"/>
    <w:rsid w:val="00574AA4"/>
    <w:rsid w:val="005832DA"/>
    <w:rsid w:val="0059415D"/>
    <w:rsid w:val="005C2192"/>
    <w:rsid w:val="005C505A"/>
    <w:rsid w:val="005E63B2"/>
    <w:rsid w:val="0060002F"/>
    <w:rsid w:val="00600B74"/>
    <w:rsid w:val="006427D8"/>
    <w:rsid w:val="006D1C36"/>
    <w:rsid w:val="00766348"/>
    <w:rsid w:val="007A5A38"/>
    <w:rsid w:val="007D285D"/>
    <w:rsid w:val="008046AD"/>
    <w:rsid w:val="00866FC8"/>
    <w:rsid w:val="00871831"/>
    <w:rsid w:val="00883BE8"/>
    <w:rsid w:val="008A5232"/>
    <w:rsid w:val="00903A4C"/>
    <w:rsid w:val="009A0768"/>
    <w:rsid w:val="009B266C"/>
    <w:rsid w:val="009F436F"/>
    <w:rsid w:val="00B24919"/>
    <w:rsid w:val="00B3535C"/>
    <w:rsid w:val="00B42A32"/>
    <w:rsid w:val="00B61519"/>
    <w:rsid w:val="00BC6981"/>
    <w:rsid w:val="00BE7BF9"/>
    <w:rsid w:val="00C45DED"/>
    <w:rsid w:val="00CB6B28"/>
    <w:rsid w:val="00D41643"/>
    <w:rsid w:val="00D62FAE"/>
    <w:rsid w:val="00DB466D"/>
    <w:rsid w:val="00E75E18"/>
    <w:rsid w:val="00E8041A"/>
    <w:rsid w:val="00EF2325"/>
    <w:rsid w:val="00F12486"/>
    <w:rsid w:val="00F351CA"/>
    <w:rsid w:val="00F95E1B"/>
    <w:rsid w:val="00FB037D"/>
    <w:rsid w:val="00FF3D6C"/>
    <w:rsid w:val="1445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uiPriority w:val="0"/>
    <w:pPr>
      <w:ind w:firstLine="359" w:firstLineChars="171"/>
    </w:pPr>
    <w:rPr>
      <w:rFonts w:ascii="Times New Roman" w:hAnsi="Times New Roman" w:eastAsia="宋体" w:cs="Times New Roman"/>
      <w:szCs w:val="24"/>
    </w:rPr>
  </w:style>
  <w:style w:type="paragraph" w:styleId="3">
    <w:name w:val="Balloon Text"/>
    <w:basedOn w:val="1"/>
    <w:link w:val="12"/>
    <w:semiHidden/>
    <w:unhideWhenUsed/>
    <w:uiPriority w:val="99"/>
    <w:rPr>
      <w:sz w:val="18"/>
      <w:szCs w:val="18"/>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正文文本缩进 Char"/>
    <w:basedOn w:val="7"/>
    <w:link w:val="2"/>
    <w:uiPriority w:val="0"/>
    <w:rPr>
      <w:rFonts w:ascii="Times New Roman" w:hAnsi="Times New Roman" w:eastAsia="宋体" w:cs="Times New Roman"/>
      <w:szCs w:val="24"/>
    </w:rPr>
  </w:style>
  <w:style w:type="paragraph" w:styleId="11">
    <w:name w:val="List Paragraph"/>
    <w:basedOn w:val="1"/>
    <w:qFormat/>
    <w:uiPriority w:val="34"/>
    <w:pPr>
      <w:ind w:firstLine="420" w:firstLineChars="200"/>
    </w:pPr>
    <w:rPr>
      <w:rFonts w:ascii="Times New Roman" w:hAnsi="Times New Roman" w:eastAsia="宋体" w:cs="Times New Roman"/>
      <w:szCs w:val="24"/>
    </w:r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3126</Words>
  <Characters>3185</Characters>
  <Lines>23</Lines>
  <Paragraphs>6</Paragraphs>
  <TotalTime>356</TotalTime>
  <ScaleCrop>false</ScaleCrop>
  <LinksUpToDate>false</LinksUpToDate>
  <CharactersWithSpaces>3205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2022-03-22T01:00:00Z</dcterms:created>
  <dc:creator>Administrator</dc:creator>
  <cp:lastModifiedBy>Angel</cp:lastModifiedBy>
  <dcterms:modified xsi:type="dcterms:W3CDTF">2022-03-24T03:17:32Z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4223F54F1B694D1B8528C7BEF373982C</vt:lpwstr>
  </property>
</Properties>
</file>